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0"/>
        <w:jc w:val="center"/>
      </w:pPr>
      <w:r>
        <w:rPr>
          <w:b/>
          <w:bCs/>
          <w:color w:val="1F4E79"/>
          <w:sz w:val="52"/>
          <w:szCs w:val="52"/>
        </w:rPr>
        <w:t xml:space="preserve">FRCS (Plast) Section 2</w:t>
      </w:r>
    </w:p>
    <w:p>
      <w:pPr>
        <w:spacing w:after="80"/>
        <w:jc w:val="center"/>
      </w:pPr>
      <w:r>
        <w:rPr>
          <w:b/>
          <w:bCs/>
          <w:color w:val="333333"/>
          <w:sz w:val="34"/>
          <w:szCs w:val="34"/>
        </w:rPr>
        <w:t xml:space="preserve">Part B – Clinical &amp; Oral Exam</w:t>
      </w:r>
    </w:p>
    <w:p>
      <w:pPr>
        <w:spacing w:after="400"/>
        <w:jc w:val="center"/>
      </w:pPr>
      <w:r>
        <w:rPr>
          <w:color w:val="555555"/>
          <w:sz w:val="26"/>
          <w:szCs w:val="26"/>
        </w:rPr>
        <w:t xml:space="preserve">Topic Revision Checklist</w:t>
      </w:r>
    </w:p>
    <w:p>
      <w:pPr>
        <w:spacing w:after="40"/>
        <w:jc w:val="center"/>
      </w:pPr>
      <w:r>
        <w:rPr>
          <w:color w:val="777777"/>
          <w:sz w:val="20"/>
          <w:szCs w:val="20"/>
        </w:rPr>
        <w:t xml:space="preserve">Structured around the JCIE curriculum: Day 1 Clinicals (long, medium, short cases)</w:t>
      </w:r>
    </w:p>
    <w:p>
      <w:pPr>
        <w:jc w:val="center"/>
      </w:pPr>
      <w:r>
        <w:rPr>
          <w:color w:val="777777"/>
          <w:sz w:val="20"/>
          <w:szCs w:val="20"/>
        </w:rPr>
        <w:t xml:space="preserve">and Day 2 Orals (3 stations × 3 themes).</w:t>
      </w:r>
    </w:p>
    <w:p>
      <w:pPr>
        <w:spacing w:before="300"/>
        <w:jc w:val="center"/>
      </w:pPr>
      <w:r>
        <w:rPr>
          <w:i/>
          <w:iCs/>
          <w:color w:val="999999"/>
          <w:sz w:val="20"/>
          <w:szCs w:val="20"/>
        </w:rPr>
        <w:t xml:space="preserve">Tick each box as you achieve exam-level confidence.</w:t>
      </w:r>
    </w:p>
    <w:p>
      <w:r>
        <w:br w:type="page"/>
      </w:r>
    </w:p>
    <w:p>
      <w:pPr>
        <w:pStyle w:val="Heading1"/>
      </w:pPr>
      <w:r>
        <w:t xml:space="preserve">How to use this checklist</w:t>
      </w:r>
    </w:p>
    <w:p>
      <w:pPr>
        <w:spacing w:after="120"/>
      </w:pPr>
      <w:r>
        <w:rPr>
          <w:sz w:val="22"/>
          <w:szCs w:val="22"/>
        </w:rPr>
        <w:t xml:space="preserve">Topics are grouped by the three oral (viva) stations, with an additional section for Day 1 clinical cases and a cross-cutting basic-science section. Every curriculum domain that can appear in Section 2 is represented. Work through each box until you can discuss the topic to consultant level – covering assessment, options, evidence, complications and a safe plan. Boxes: ☐ = to do.</w:t>
      </w:r>
    </w:p>
    <w:p>
      <w:r>
        <w:br w:type="page"/>
      </w:r>
    </w:p>
    <w:p>
      <w:pPr>
        <w:pStyle w:val="Heading1"/>
      </w:pPr>
      <w:r>
        <w:t xml:space="preserve">Oral Station 1 – Trauma, Burns &amp; Adult Upper Limb</w:t>
      </w:r>
    </w:p>
    <w:p>
      <w:pPr>
        <w:pStyle w:val="Heading2"/>
      </w:pPr>
      <w:r>
        <w:t xml:space="preserve">Burns – acute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First aid, referral criteria &amp; transfer to burns unit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Assessment of burn depth and %TBSA (Wallace, Lund-Browder, palm)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Fluid resuscitation – Parkland/modified formulas, end-points, monitoring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Inhalation injury – diagnosis, airway management, carbon monoxide/cyanide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Escharotomy &amp; fasciotomy – indications and technique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Electrical burns (low vs high voltage), lightning, compartment syndrome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Chemical burns (acid, alkali, hydrofluoric acid, cement)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Non-accidental injury in children; safeguarding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Burn wound management – dressings, topical agents, timing of surgery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Excision &amp; grafting strategy; skin substitutes (Integra, Biobrane, allograft)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Metabolic response, nutrition, sepsis in the burns patient</w:t>
      </w:r>
    </w:p>
    <w:p>
      <w:pPr>
        <w:pStyle w:val="Heading2"/>
      </w:pPr>
      <w:r>
        <w:t xml:space="preserve">Burns – reconstruction &amp; sequelae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Hypertrophic scarring &amp; keloid; pressure garments, silicone, steroids, lasers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Contracture release – neck, axilla, hand, perioral; grafts vs flaps vs Z-plasty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Burns to face, eyelids (ectropion), hands and perineum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Reconstructive ladder/elevator in burns; tissue expansion</w:t>
      </w:r>
    </w:p>
    <w:p>
      <w:pPr>
        <w:pStyle w:val="Heading2"/>
      </w:pPr>
      <w:r>
        <w:t xml:space="preserve">Adult hand &amp; upper limb trauma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Assessment of the injured hand; zones of flexor tendon injury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Flexor tendon repair – core sutures, rehabilitation (early active motion)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Extensor tendon injuries &amp; zones; mallet, boutonnière, sagittal band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Fingertip &amp; nailbed injuries; amputation levels &amp; coverage options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Replantation &amp; revascularisation – indications, contraindications, sequence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Metacarpal &amp; phalangeal fractures; fixation principles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Nerve injury – classification (Seddon/Sunderland), repair, grafting, transfers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Digital nerve repair; neuroma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Vascular injury, ring avulsion, high-pressure injection injury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Compartment syndrome of forearm/hand; fasciotomy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Infections – flexor sheath, deep space, bites, necrotising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Hand burns and complex soft-tissue defects; local &amp; regional flaps</w:t>
      </w:r>
    </w:p>
    <w:p>
      <w:pPr>
        <w:pStyle w:val="Heading2"/>
      </w:pPr>
      <w:r>
        <w:t xml:space="preserve">Facial &amp; lower limb trauma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Facial soft-tissue injury assessment &amp; principles of repair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Facial fractures – mandible, zygoma, orbit (blowout), Le Fort, NOE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Frontal sinus fractures; panfacial trauma sequencing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Facial nerve &amp; parotid duct injury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Scalp reconstruction; avulsion injuries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Open lower limb fracture (Gustilo), BOAST/BAPRAS guidance, fix-and-flap timing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Reconstruction of the lower limb – local, regional, free flaps by zone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Mangled extremity scoring; amputation vs salvage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Degloving injuries; soft-tissue coverage principles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Pretibial lacerations, chronic wounds and osteomyelitis</w:t>
      </w:r>
    </w:p>
    <w:p>
      <w:r>
        <w:br w:type="page"/>
      </w:r>
    </w:p>
    <w:p>
      <w:pPr>
        <w:pStyle w:val="Heading1"/>
      </w:pPr>
      <w:r>
        <w:t xml:space="preserve">Oral Station 2 – Head &amp; Neck, Congenital, Trunk &amp; Perineal</w:t>
      </w:r>
    </w:p>
    <w:p>
      <w:pPr>
        <w:pStyle w:val="Heading2"/>
      </w:pPr>
      <w:r>
        <w:t xml:space="preserve">Acute head &amp; neck tumours / reconstruction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Skin cancer of the head &amp; neck; margins and reconstruction by facial subunit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Oral cavity, tongue &amp; oropharyngeal cancer – staging, MDT, treatment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Neck dissection levels; principles of ablation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Reconstruction – local flaps, pedicled (pec major), free flaps (RFFF, ALT, fibula)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Mandibular reconstruction; osteocutaneous options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Lip reconstruction (Abbe, Estlander, Karapandzic, Bernard)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Nose reconstruction – subunits, paramedian forehead flap, lining &amp; support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Eyelid reconstruction; ear reconstruction after trauma/tumour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Cheek and scalp reconstruction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Salivary gland tumours; facial nerve considerations</w:t>
      </w:r>
    </w:p>
    <w:p>
      <w:pPr>
        <w:pStyle w:val="Heading2"/>
      </w:pPr>
      <w:r>
        <w:t xml:space="preserve">Congenital anomalies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Cleft lip – embryology, classification, markings, repair techniques &amp; timing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Cleft palate – anatomy, repair, VPI, speech assessment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Alveolar bone grafting; secondary cleft procedures; cleft rhinoplasty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Craniosynostosis – syndromic vs non-syndromic,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Craniofacial clefts, microtia, hemifacial microsomia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Congenital hand – syndactyly, polydactyly, radial/ulnar club hand, thumb hypoplasia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Vascular anomalies – ISSVA classification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Haemangiomas – natural history, propranolol, surgery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Vascular malformations (capillary, venous, lymphatic, AVM)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Giant congenital naevi; management options</w:t>
      </w:r>
    </w:p>
    <w:p>
      <w:pPr>
        <w:pStyle w:val="Heading2"/>
      </w:pPr>
      <w:r>
        <w:t xml:space="preserve">Facial palsy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Assessment &amp; grading (House-Brackmann); causes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Reanimation – static vs dynamic procedures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Nerve transfers, cross-facial nerve grafting, free functional muscle transfer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Regional muscle transfer (temporalis); eye protection procedures</w:t>
      </w:r>
    </w:p>
    <w:p>
      <w:pPr>
        <w:pStyle w:val="Heading2"/>
      </w:pPr>
      <w:r>
        <w:t xml:space="preserve">Trunk, perineal &amp; breast reconstruction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Chest wall reconstruction – defects, sternal wounds, flaps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Abdominal wall reconstruction; component separation; mesh; hernia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Pressure sores – classification, prevention, flap reconstruction by site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Perineal &amp; pelvic reconstruction (VRAM, gracilis, gluteal flaps)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Posterior trunk / spinal wound coverage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 cancer reconstruction – timing, implant vs autologous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Pedicled flaps (LD, TRAM) and free flaps (DIEP, TUG, SGAP)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Nipple-areola reconstruction; symmetrisation; oncoplastic principles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Post-mastectomy radiotherapy considerations; ADM use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Lymphoedema – assessment and surgical options (LVA, VLNT)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Gynaecomastia; chest wall in gender-affirming surgery</w:t>
      </w:r>
    </w:p>
    <w:p>
      <w:r>
        <w:br w:type="page"/>
      </w:r>
    </w:p>
    <w:p>
      <w:pPr>
        <w:pStyle w:val="Heading1"/>
      </w:pPr>
      <w:r>
        <w:t xml:space="preserve">Oral Station 3 – Generic Techniques, Skin Cancer/Sarcoma &amp; GPC</w:t>
      </w:r>
    </w:p>
    <w:p>
      <w:pPr>
        <w:pStyle w:val="Heading2"/>
      </w:pPr>
      <w:r>
        <w:t xml:space="preserve">Generic plastic surgery techniques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Wound healing – phases, factors, chronic wounds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Reconstructive ladder/elevator; principles of flap selection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Skin grafts – split vs full thickness, take, failure, donor sites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Skin substitutes &amp; dermal matrices; negative pressure wound therapy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Flap classification – blood supply, composition, movement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Local flaps – advancement, rotation, transposition, Z-plasty, rhomboid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Perforator flaps; propeller flaps; keystone flaps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Pedicled &amp; free flaps; workhorse flaps and their anatomy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Microsurgery – anastomosis, monitoring, salvage of failing flap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Tissue expansion; principles and complications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Grafts of other tissues (nerve, tendon, bone, cartilage, fat)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Local anaesthetics, tourniquet use, thromboprophylaxis</w:t>
      </w:r>
    </w:p>
    <w:p>
      <w:pPr>
        <w:pStyle w:val="Heading2"/>
      </w:pPr>
      <w:r>
        <w:t xml:space="preserve">Skin cancer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Basal cell carcinoma – subtypes, margins,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Squamous cell carcinoma – risk stratification, margins, nodal disease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Melanoma – staging, excision margins, sentinel node biopsy, adjuvant therapy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Melanoma follow-up; in-transit &amp; metastatic disease; MDT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Rarer skin tumours (Merkel cell, DFSP, adnexal, angiosarcoma)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Premalignant lesions; field change; immunosuppressed patients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Marjolin ulcer</w:t>
      </w:r>
    </w:p>
    <w:p>
      <w:pPr>
        <w:pStyle w:val="Heading2"/>
      </w:pPr>
      <w:r>
        <w:t xml:space="preserve">Sarcoma &amp; soft-tissue tumours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Soft-tissue sarcoma – presentation, imaging, biopsy principles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Staging, grading and MDT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Wide local excision, margins, compartment concepts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Reconstruction after sarcoma resection; adjuvant radiotherapy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Benign soft-tissue lumps and their differentiation</w:t>
      </w:r>
    </w:p>
    <w:p>
      <w:pPr>
        <w:pStyle w:val="Heading2"/>
      </w:pPr>
      <w:r>
        <w:t xml:space="preserve">Aesthetic surgery (may appear here or in clinicals)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Aesthetic facial assessment; blepharoplasty, rhytidectomy, brow lift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Rhinoplasty principles; otoplasty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 augmentation, mastopexy, reduction – techniques &amp; complications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Abdominoplasty, liposuction, body contouring after weight loss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Non-surgical aesthetics; managing patient expectations &amp; psychology (BDD)</w:t>
      </w:r>
    </w:p>
    <w:p>
      <w:pPr>
        <w:pStyle w:val="Heading2"/>
      </w:pPr>
      <w:r>
        <w:t xml:space="preserve">General Professional Capability (ethics, consent, medico-legal)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Consent – Montgomery, capacity, children (Gillick), emergencies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Confidentiality, GMC Good Medical Practice, duty of candour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Clinical governance, audit, M&amp;M, significant event analysis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Managing complications &amp; complaints; open disclosure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Consent for photography &amp; research; data protection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Working in MDTs, referrals, safe handover, escalation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Evidence-based practice, appraisal &amp; revalidation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The difficult/unhappy patient; managing the underperforming colleague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Resource allocation, prioritisation, leadership &amp; non-technical skills</w:t>
      </w:r>
    </w:p>
    <w:p>
      <w:r>
        <w:br w:type="page"/>
      </w:r>
    </w:p>
    <w:p>
      <w:pPr>
        <w:pStyle w:val="Heading1"/>
      </w:pPr>
      <w:r>
        <w:t xml:space="preserve">Day 1 – Clinical Cases (Long, Medium &amp; Short)</w:t>
      </w:r>
    </w:p>
    <w:p>
      <w:pPr>
        <w:spacing w:after="120"/>
      </w:pPr>
      <w:r>
        <w:rPr>
          <w:i/>
          <w:iCs/>
          <w:color w:val="555555"/>
          <w:sz w:val="20"/>
          <w:szCs w:val="20"/>
        </w:rPr>
        <w:t xml:space="preserve">Clinical stations can draw on any curriculum area. Practise focused history, examination and a safe management plan for the common exam 'volunteers' below.</w:t>
      </w:r>
    </w:p>
    <w:p>
      <w:pPr>
        <w:pStyle w:val="Heading2"/>
      </w:pPr>
      <w:r>
        <w:t xml:space="preserve">Common clinical case examinations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Hand – Dupuytren's disease; examination and management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Hand – rheumatoid hand; osteoarthritis (CMC, nodes)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Nerve compression – carpal tunnel, cubital tunnel; examination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Nerve palsy – radial, ulnar, median; tendon transfers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Wrist &amp; thumb – ganglion, de Quervain's, trigger finger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Brachial plexus / obstetric palsy examination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Skin lesions – examine and describe; differential &amp; plan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Facial lesion / post-excision reconstruction case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Breast – post-reconstruction assessment; asymmetry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Facial palsy examination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Lower limb wound / flap reconstruction case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Post-burn contracture / scar assessment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Congenital case – cleft, hand anomaly, ear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Trunk / abdominal wall / pressure sore case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Lymphoedema limb examination</w:t>
      </w:r>
    </w:p>
    <w:p>
      <w:r>
        <w:br w:type="page"/>
      </w:r>
    </w:p>
    <w:p>
      <w:pPr>
        <w:pStyle w:val="Heading1"/>
      </w:pPr>
      <w:r>
        <w:t xml:space="preserve">Cross-cutting Basic Sciences</w:t>
      </w:r>
    </w:p>
    <w:p>
      <w:pPr>
        <w:spacing w:after="120"/>
      </w:pPr>
      <w:r>
        <w:rPr>
          <w:i/>
          <w:iCs/>
          <w:color w:val="555555"/>
          <w:sz w:val="20"/>
          <w:szCs w:val="20"/>
        </w:rPr>
        <w:t xml:space="preserve">Underpins every station – examiners probe the science behind clinical decisions.</w:t>
      </w:r>
    </w:p>
    <w:p>
      <w:pPr>
        <w:pStyle w:val="Heading2"/>
      </w:pPr>
      <w:r>
        <w:t xml:space="preserve">Applied basic science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Skin structure &amp; function; wound healing biology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Anatomy of workhorse flaps and their pedicles; angiosomes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Embryology – face, palate, limb, branchial apparatus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Nerve anatomy, injury and regeneration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Grafts – biology of take, immunology of allografts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Microvascular physiology; ischaemia-reperfusion; thrombosis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Biomaterials – implants, mesh, sutures, dermal matrices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Tissue expansion physiology; principles of lasers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Pharmacology – local anaesthetics, antibiotics, thromboprophylaxis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Tumour biology &amp; staging principles; radiotherapy/chemotherapy basics</w:t>
      </w:r>
    </w:p>
    <w:p>
      <w:pPr>
        <w:spacing w:after="20"/>
        <w:ind w:left="360" w:hanging="26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Statistics &amp; evidence appraisal for the viva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FRCS (Plast) Section 2 – Revision Checklist   | 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E79" w:sz="6" w:space="4"/>
      </w:pBdr>
      <w:spacing w:after="160" w:before="240"/>
      <w:outlineLvl w:val="0"/>
    </w:pPr>
    <w:rPr>
      <w:rFonts w:ascii="Arial" w:cs="Arial" w:eastAsia="Arial" w:hAnsi="Arial"/>
      <w:b/>
      <w:bCs/>
      <w:color w:val="1F4E7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E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2026-07-08T13:00:51.094Z</dcterms:created>
  <dcterms:modified xsi:type="dcterms:W3CDTF">2026-07-08T13:00:51.094Z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